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5AFC" w14:textId="77777777" w:rsidR="00684251" w:rsidRDefault="00684251" w:rsidP="00A16783">
      <w:pPr>
        <w:pStyle w:val="Header"/>
        <w:spacing w:line="300" w:lineRule="auto"/>
        <w:rPr>
          <w:rFonts w:eastAsiaTheme="majorEastAsia"/>
          <w:b/>
          <w:color w:val="000000" w:themeColor="text1"/>
          <w:sz w:val="32"/>
          <w:szCs w:val="36"/>
        </w:rPr>
      </w:pPr>
    </w:p>
    <w:p w14:paraId="26F0A35D" w14:textId="77777777" w:rsidR="00684251" w:rsidRDefault="00684251" w:rsidP="00A16783">
      <w:pPr>
        <w:pStyle w:val="Header"/>
        <w:spacing w:line="300" w:lineRule="auto"/>
        <w:rPr>
          <w:rFonts w:eastAsiaTheme="majorEastAsia"/>
          <w:b/>
          <w:color w:val="000000" w:themeColor="text1"/>
          <w:sz w:val="32"/>
          <w:szCs w:val="36"/>
        </w:rPr>
      </w:pPr>
    </w:p>
    <w:p w14:paraId="66B12A85" w14:textId="54F06F74" w:rsidR="00A16783" w:rsidRPr="00BF6563" w:rsidRDefault="00A16783" w:rsidP="00A16783">
      <w:pPr>
        <w:pStyle w:val="Header"/>
        <w:spacing w:line="300" w:lineRule="auto"/>
        <w:rPr>
          <w:rFonts w:eastAsiaTheme="majorEastAsia"/>
          <w:b/>
          <w:color w:val="000000" w:themeColor="text1"/>
          <w:sz w:val="32"/>
          <w:szCs w:val="36"/>
        </w:rPr>
      </w:pPr>
      <w:r w:rsidRPr="00BF6563">
        <w:rPr>
          <w:rFonts w:eastAsiaTheme="majorEastAsia"/>
          <w:b/>
          <w:color w:val="000000" w:themeColor="text1"/>
          <w:sz w:val="32"/>
          <w:szCs w:val="36"/>
        </w:rPr>
        <w:t xml:space="preserve">Supplemental Resource </w:t>
      </w:r>
    </w:p>
    <w:p w14:paraId="35B9292D" w14:textId="77777777" w:rsidR="00A16783" w:rsidRPr="00BF6563" w:rsidRDefault="00A16783" w:rsidP="00A16783">
      <w:pPr>
        <w:pStyle w:val="Header"/>
        <w:spacing w:after="360" w:line="300" w:lineRule="auto"/>
        <w:rPr>
          <w:rFonts w:eastAsiaTheme="majorEastAsia"/>
          <w:b/>
          <w:color w:val="68A142"/>
          <w:sz w:val="48"/>
          <w:szCs w:val="56"/>
        </w:rPr>
      </w:pPr>
      <w:r w:rsidRPr="00BF6563">
        <w:rPr>
          <w:rFonts w:eastAsiaTheme="majorEastAsia"/>
          <w:b/>
          <w:color w:val="68A142"/>
          <w:sz w:val="48"/>
          <w:szCs w:val="56"/>
        </w:rPr>
        <w:t>Designing a Stakeholder Engagement Plan</w:t>
      </w:r>
    </w:p>
    <w:p w14:paraId="1B6D7CAA" w14:textId="77777777" w:rsidR="00A16783" w:rsidRPr="00BF6563" w:rsidRDefault="00A16783" w:rsidP="00A16783">
      <w:pPr>
        <w:spacing w:before="240" w:after="240"/>
        <w:rPr>
          <w:sz w:val="36"/>
        </w:rPr>
      </w:pPr>
      <w:r w:rsidRPr="00BF6563">
        <w:rPr>
          <w:sz w:val="36"/>
        </w:rPr>
        <w:t>How to Use this Resource</w:t>
      </w:r>
    </w:p>
    <w:p w14:paraId="52544D04" w14:textId="77777777" w:rsidR="00A16783" w:rsidRPr="00205666" w:rsidRDefault="00A16783" w:rsidP="00A16783">
      <w:pPr>
        <w:spacing w:after="120"/>
      </w:pPr>
      <w:r w:rsidRPr="00205666">
        <w:t xml:space="preserve">This resource </w:t>
      </w:r>
      <w:r>
        <w:t xml:space="preserve">accompanies Phase 4, Task 1, Step 1 of the Model Guidebook for Business Enterprises. It </w:t>
      </w:r>
      <w:r w:rsidRPr="00205666">
        <w:t xml:space="preserve">provides (1) a template for designing a strategy for ongoing community engagement, and (2) two checklists for evaluating </w:t>
      </w:r>
      <w:r>
        <w:t>the</w:t>
      </w:r>
      <w:r w:rsidRPr="00205666">
        <w:t xml:space="preserve"> community engagement plan based on established standards for stakeholder communication.   </w:t>
      </w:r>
    </w:p>
    <w:p w14:paraId="071B6255" w14:textId="77777777" w:rsidR="00A16783" w:rsidRPr="00BF6563" w:rsidRDefault="00A16783" w:rsidP="00A16783">
      <w:pPr>
        <w:spacing w:before="240" w:after="240"/>
        <w:rPr>
          <w:sz w:val="36"/>
        </w:rPr>
      </w:pPr>
      <w:r w:rsidRPr="00BF6563">
        <w:rPr>
          <w:sz w:val="36"/>
        </w:rPr>
        <w:t>Model Community Engagement Strategy Contents:</w:t>
      </w:r>
    </w:p>
    <w:p w14:paraId="4097FC1E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Description of Investment Project</w:t>
      </w:r>
    </w:p>
    <w:p w14:paraId="21AFEF4E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Include a general background of the project, as well as reference to key documents and events in the development process</w:t>
      </w:r>
    </w:p>
    <w:p w14:paraId="757C4618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Applicable Regulations and Requirements</w:t>
      </w:r>
    </w:p>
    <w:p w14:paraId="3B9A00DA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Document the regulations and requirements that apply to the investment and surrounding consultations</w:t>
      </w:r>
    </w:p>
    <w:p w14:paraId="1E1F8809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 xml:space="preserve">Include information both from initial desk research and from contract negotiations </w:t>
      </w:r>
    </w:p>
    <w:p w14:paraId="3AB276C5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Prior Community Engagement Activities</w:t>
      </w:r>
    </w:p>
    <w:p w14:paraId="6B833190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List engagement and consultation activities that occurred in the pre-negotiation and negotiation phases, as well as any meetings and events that have occurred so far in the investment implementation</w:t>
      </w:r>
    </w:p>
    <w:p w14:paraId="231164E3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List of Stakeholders</w:t>
      </w:r>
    </w:p>
    <w:p w14:paraId="6D5830CE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Ensure that the list covers groups representing the interests of the entire community; overlap is expected, and gaps are unacceptable</w:t>
      </w:r>
    </w:p>
    <w:p w14:paraId="6B552E98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Description of Stakeholder/Community Engagement Strategy</w:t>
      </w:r>
    </w:p>
    <w:p w14:paraId="3DE95C74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lastRenderedPageBreak/>
        <w:t>This is the main substance of the strategy document, and should include as exhaustive a list as possible of engagement activities to be undertaken</w:t>
      </w:r>
    </w:p>
    <w:p w14:paraId="3C8CA2E3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The strategy description should include the specific activities that will be taken for each stakeholder group in consideration of the particular needs of subgroups</w:t>
      </w:r>
    </w:p>
    <w:p w14:paraId="7A51A2A5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Timetable for Community Engagement Activities</w:t>
      </w:r>
    </w:p>
    <w:p w14:paraId="28D99F62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This timetable should include meetings and consultations, as well as monitoring and reporting functions and regular reviews of the investment and its accompanying processes</w:t>
      </w:r>
    </w:p>
    <w:p w14:paraId="3FC44DCA" w14:textId="77777777" w:rsidR="00A16783" w:rsidRPr="00205666" w:rsidRDefault="00A16783" w:rsidP="000F614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Resources and Responsibilities Involved in Ongoing Community Engagement</w:t>
      </w:r>
    </w:p>
    <w:p w14:paraId="68E91A65" w14:textId="77777777" w:rsidR="00A16783" w:rsidRPr="00205666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>This should include the resources that the investor will put towards ongoing community engagement, as well as any outside funding and/or activities from civil society partners, government agencies, and other groups</w:t>
      </w:r>
    </w:p>
    <w:p w14:paraId="51A670A1" w14:textId="77777777" w:rsidR="00A16783" w:rsidRPr="00BF6563" w:rsidRDefault="00A16783" w:rsidP="000F614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</w:rPr>
      </w:pPr>
      <w:r w:rsidRPr="00205666">
        <w:rPr>
          <w:color w:val="000000"/>
        </w:rPr>
        <w:t xml:space="preserve">There should be clear integration of engagement responsibilities into the investors ongoing operations </w:t>
      </w:r>
    </w:p>
    <w:tbl>
      <w:tblPr>
        <w:tblStyle w:val="TableGrid"/>
        <w:tblW w:w="9779" w:type="dxa"/>
        <w:jc w:val="center"/>
        <w:tblLook w:val="04A0" w:firstRow="1" w:lastRow="0" w:firstColumn="1" w:lastColumn="0" w:noHBand="0" w:noVBand="1"/>
      </w:tblPr>
      <w:tblGrid>
        <w:gridCol w:w="423"/>
        <w:gridCol w:w="9356"/>
      </w:tblGrid>
      <w:tr w:rsidR="00A16783" w:rsidRPr="00205666" w14:paraId="00475299" w14:textId="77777777" w:rsidTr="00684251">
        <w:trPr>
          <w:jc w:val="center"/>
        </w:trPr>
        <w:tc>
          <w:tcPr>
            <w:tcW w:w="9779" w:type="dxa"/>
            <w:gridSpan w:val="2"/>
            <w:shd w:val="clear" w:color="auto" w:fill="70AD47" w:themeFill="accent6"/>
          </w:tcPr>
          <w:p w14:paraId="793BA574" w14:textId="77777777" w:rsidR="00A16783" w:rsidRPr="00205666" w:rsidRDefault="00A16783" w:rsidP="00183B31">
            <w:pPr>
              <w:spacing w:after="120"/>
              <w:jc w:val="center"/>
              <w:rPr>
                <w:b/>
                <w:smallCaps/>
                <w:sz w:val="22"/>
                <w:szCs w:val="22"/>
              </w:rPr>
            </w:pPr>
            <w:r w:rsidRPr="00205666">
              <w:rPr>
                <w:b/>
                <w:smallCaps/>
                <w:sz w:val="22"/>
                <w:szCs w:val="22"/>
              </w:rPr>
              <w:t>Ongoing Community Engagement Plan Checklist</w:t>
            </w:r>
          </w:p>
        </w:tc>
      </w:tr>
      <w:tr w:rsidR="00A16783" w:rsidRPr="00205666" w14:paraId="2F81F292" w14:textId="77777777" w:rsidTr="00183B31">
        <w:trPr>
          <w:jc w:val="center"/>
        </w:trPr>
        <w:tc>
          <w:tcPr>
            <w:tcW w:w="423" w:type="dxa"/>
          </w:tcPr>
          <w:p w14:paraId="4B386A02" w14:textId="77777777" w:rsidR="00A16783" w:rsidRPr="00205666" w:rsidRDefault="00A16783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  <w:vAlign w:val="bottom"/>
          </w:tcPr>
          <w:p w14:paraId="4E47B1EF" w14:textId="77777777" w:rsidR="00A16783" w:rsidRPr="00205666" w:rsidRDefault="00A16783" w:rsidP="00183B31">
            <w:pPr>
              <w:pStyle w:val="ListParagraph"/>
              <w:spacing w:after="120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describe the requirements and expectations for consultation and communication?</w:t>
            </w:r>
          </w:p>
        </w:tc>
      </w:tr>
      <w:tr w:rsidR="00A16783" w:rsidRPr="00205666" w14:paraId="060C9423" w14:textId="77777777" w:rsidTr="00183B31">
        <w:trPr>
          <w:jc w:val="center"/>
        </w:trPr>
        <w:tc>
          <w:tcPr>
            <w:tcW w:w="423" w:type="dxa"/>
          </w:tcPr>
          <w:p w14:paraId="27438F3A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65DA62C9" w14:textId="77777777" w:rsidR="00A16783" w:rsidRPr="00205666" w:rsidRDefault="00A16783" w:rsidP="00183B31">
            <w:pPr>
              <w:pStyle w:val="ListParagraph"/>
              <w:spacing w:after="120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ensure that communication involves avenues for two-way dialogue, including adequate time for expression and listening on both sides?</w:t>
            </w:r>
          </w:p>
        </w:tc>
      </w:tr>
      <w:tr w:rsidR="00A16783" w:rsidRPr="00205666" w14:paraId="5A8D4D58" w14:textId="77777777" w:rsidTr="00183B31">
        <w:trPr>
          <w:jc w:val="center"/>
        </w:trPr>
        <w:tc>
          <w:tcPr>
            <w:tcW w:w="423" w:type="dxa"/>
          </w:tcPr>
          <w:p w14:paraId="2B9BB166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0EF14FC1" w14:textId="77777777" w:rsidR="00A16783" w:rsidRPr="00205666" w:rsidRDefault="00A16783" w:rsidP="00183B31">
            <w:pPr>
              <w:pStyle w:val="ListParagraph"/>
              <w:spacing w:after="120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identify and prioritize key stakeholder groups, with special focus on women and other vulnerable groups?</w:t>
            </w:r>
          </w:p>
        </w:tc>
      </w:tr>
      <w:tr w:rsidR="00A16783" w:rsidRPr="00205666" w14:paraId="430CE26E" w14:textId="77777777" w:rsidTr="00183B31">
        <w:trPr>
          <w:jc w:val="center"/>
        </w:trPr>
        <w:tc>
          <w:tcPr>
            <w:tcW w:w="423" w:type="dxa"/>
          </w:tcPr>
          <w:p w14:paraId="79DD0594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2F2BEC16" w14:textId="77777777" w:rsidR="00A16783" w:rsidRPr="00205666" w:rsidRDefault="00A16783" w:rsidP="00183B31">
            <w:pPr>
              <w:pStyle w:val="ListParagraph"/>
              <w:spacing w:after="120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provide a strategy and timetable for meetings and information sharing with each identified stakeholder group?</w:t>
            </w:r>
          </w:p>
        </w:tc>
      </w:tr>
      <w:tr w:rsidR="00A16783" w:rsidRPr="00205666" w14:paraId="6ECD8E61" w14:textId="77777777" w:rsidTr="00183B31">
        <w:trPr>
          <w:jc w:val="center"/>
        </w:trPr>
        <w:tc>
          <w:tcPr>
            <w:tcW w:w="423" w:type="dxa"/>
          </w:tcPr>
          <w:p w14:paraId="60577904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16CA6D3E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describe the resources and responsibilities involved in implementing community engagement activities?</w:t>
            </w:r>
          </w:p>
        </w:tc>
      </w:tr>
      <w:tr w:rsidR="00A16783" w:rsidRPr="00205666" w14:paraId="17E40728" w14:textId="77777777" w:rsidTr="00183B31">
        <w:trPr>
          <w:jc w:val="center"/>
        </w:trPr>
        <w:tc>
          <w:tcPr>
            <w:tcW w:w="423" w:type="dxa"/>
          </w:tcPr>
          <w:p w14:paraId="5EDC1B8B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3D198A86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 xml:space="preserve">Does the timetable include regular reviews of the lease by land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holders and </w:t>
            </w:r>
            <w:r w:rsidRPr="00205666">
              <w:rPr>
                <w:rFonts w:eastAsia="Times New Roman"/>
                <w:color w:val="000000"/>
                <w:sz w:val="22"/>
                <w:szCs w:val="22"/>
              </w:rPr>
              <w:t>users in order to ensure that the project is implemented in accordance with the mutual promises, expectations, mitigation strategies and conditions contained within the lease?</w:t>
            </w:r>
          </w:p>
        </w:tc>
      </w:tr>
      <w:tr w:rsidR="00A16783" w:rsidRPr="00205666" w14:paraId="37E54CDA" w14:textId="77777777" w:rsidTr="00183B31">
        <w:trPr>
          <w:jc w:val="center"/>
        </w:trPr>
        <w:tc>
          <w:tcPr>
            <w:tcW w:w="423" w:type="dxa"/>
          </w:tcPr>
          <w:p w14:paraId="21F34028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0BF101F8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describe how community engagement activities will be incorporated into the investor’s ongoing operations?</w:t>
            </w:r>
          </w:p>
        </w:tc>
      </w:tr>
      <w:tr w:rsidR="00A16783" w:rsidRPr="00205666" w14:paraId="467BE200" w14:textId="77777777" w:rsidTr="00183B31">
        <w:trPr>
          <w:jc w:val="center"/>
        </w:trPr>
        <w:tc>
          <w:tcPr>
            <w:tcW w:w="423" w:type="dxa"/>
          </w:tcPr>
          <w:p w14:paraId="72C22527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1D1840D5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include a mechanism for incorporating community feedback about engagement and consultation processes?</w:t>
            </w:r>
          </w:p>
        </w:tc>
      </w:tr>
      <w:tr w:rsidR="00A16783" w:rsidRPr="00205666" w14:paraId="79B9D664" w14:textId="77777777" w:rsidTr="00183B31">
        <w:trPr>
          <w:jc w:val="center"/>
        </w:trPr>
        <w:tc>
          <w:tcPr>
            <w:tcW w:w="423" w:type="dxa"/>
          </w:tcPr>
          <w:p w14:paraId="199A03CD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356" w:type="dxa"/>
          </w:tcPr>
          <w:p w14:paraId="4490953B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the plan include a process for reporting changes in engagement processes back to stakeholders?</w:t>
            </w:r>
          </w:p>
        </w:tc>
      </w:tr>
      <w:tr w:rsidR="00A16783" w:rsidRPr="00205666" w14:paraId="0A5313E6" w14:textId="77777777" w:rsidTr="00684251">
        <w:trPr>
          <w:trHeight w:val="386"/>
          <w:jc w:val="center"/>
        </w:trPr>
        <w:tc>
          <w:tcPr>
            <w:tcW w:w="9779" w:type="dxa"/>
            <w:gridSpan w:val="2"/>
            <w:shd w:val="clear" w:color="auto" w:fill="70AD47" w:themeFill="accent6"/>
          </w:tcPr>
          <w:p w14:paraId="6962B1FD" w14:textId="77777777" w:rsidR="00A16783" w:rsidRPr="00205666" w:rsidRDefault="00A16783" w:rsidP="00183B31">
            <w:pPr>
              <w:spacing w:after="120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b/>
                <w:color w:val="000000"/>
                <w:sz w:val="22"/>
                <w:szCs w:val="22"/>
              </w:rPr>
              <w:t>O</w:t>
            </w:r>
            <w:r w:rsidRPr="00205666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ngoing Community Engagement Principles Checklist</w:t>
            </w:r>
          </w:p>
        </w:tc>
      </w:tr>
      <w:tr w:rsidR="00A16783" w:rsidRPr="00205666" w14:paraId="47A7B7DE" w14:textId="77777777" w:rsidTr="00183B31">
        <w:trPr>
          <w:jc w:val="center"/>
        </w:trPr>
        <w:tc>
          <w:tcPr>
            <w:tcW w:w="423" w:type="dxa"/>
          </w:tcPr>
          <w:p w14:paraId="302F21FE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1B37D309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Is the investor providing meaningful information in appropriate formats and languages?</w:t>
            </w:r>
          </w:p>
        </w:tc>
      </w:tr>
      <w:tr w:rsidR="00A16783" w:rsidRPr="00205666" w14:paraId="10B3317C" w14:textId="77777777" w:rsidTr="00183B31">
        <w:trPr>
          <w:jc w:val="center"/>
        </w:trPr>
        <w:tc>
          <w:tcPr>
            <w:tcW w:w="423" w:type="dxa"/>
          </w:tcPr>
          <w:p w14:paraId="084590F3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6FD670D3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Is the investor tailoring communication to the needs of key stakeholder groups?</w:t>
            </w:r>
          </w:p>
        </w:tc>
      </w:tr>
      <w:tr w:rsidR="00A16783" w:rsidRPr="00205666" w14:paraId="63357848" w14:textId="77777777" w:rsidTr="00183B31">
        <w:trPr>
          <w:jc w:val="center"/>
        </w:trPr>
        <w:tc>
          <w:tcPr>
            <w:tcW w:w="423" w:type="dxa"/>
          </w:tcPr>
          <w:p w14:paraId="457E2C00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146AE08F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Is information disseminated in ways and locations that ensure access by the community?</w:t>
            </w:r>
          </w:p>
        </w:tc>
      </w:tr>
      <w:tr w:rsidR="00A16783" w:rsidRPr="00205666" w14:paraId="49CEB1FE" w14:textId="77777777" w:rsidTr="00183B31">
        <w:trPr>
          <w:jc w:val="center"/>
        </w:trPr>
        <w:tc>
          <w:tcPr>
            <w:tcW w:w="423" w:type="dxa"/>
          </w:tcPr>
          <w:p w14:paraId="1554540D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5F292DCB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Does engagement respect local traditions, languages, timeframes and decision-making processes?</w:t>
            </w:r>
          </w:p>
        </w:tc>
      </w:tr>
      <w:tr w:rsidR="00A16783" w:rsidRPr="00205666" w14:paraId="46F2A90C" w14:textId="77777777" w:rsidTr="00183B31">
        <w:trPr>
          <w:jc w:val="center"/>
        </w:trPr>
        <w:tc>
          <w:tcPr>
            <w:tcW w:w="423" w:type="dxa"/>
          </w:tcPr>
          <w:p w14:paraId="198F30AC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356" w:type="dxa"/>
          </w:tcPr>
          <w:p w14:paraId="254AF055" w14:textId="77777777" w:rsidR="00A16783" w:rsidRPr="00205666" w:rsidRDefault="00A16783" w:rsidP="00183B31">
            <w:pPr>
              <w:spacing w:after="120"/>
              <w:rPr>
                <w:rFonts w:eastAsia="Times New Roman"/>
                <w:color w:val="000000"/>
                <w:sz w:val="22"/>
                <w:szCs w:val="22"/>
              </w:rPr>
            </w:pPr>
            <w:r w:rsidRPr="00205666">
              <w:rPr>
                <w:rFonts w:eastAsia="Times New Roman"/>
                <w:color w:val="000000"/>
                <w:sz w:val="22"/>
                <w:szCs w:val="22"/>
              </w:rPr>
              <w:t>Are the processes for engagement and consultation free of coercion, intimidation or other unfair bargaining dynamics?</w:t>
            </w:r>
          </w:p>
        </w:tc>
      </w:tr>
    </w:tbl>
    <w:p w14:paraId="664C05BA" w14:textId="77777777" w:rsidR="00A16783" w:rsidRPr="00205666" w:rsidRDefault="00A16783" w:rsidP="00A16783">
      <w:pPr>
        <w:spacing w:after="120"/>
      </w:pPr>
    </w:p>
    <w:p w14:paraId="73FDA1D9" w14:textId="32E70C0C" w:rsidR="00CE39A9" w:rsidRPr="00C36AB3" w:rsidRDefault="00CE39A9" w:rsidP="00A16783">
      <w:bookmarkStart w:id="0" w:name="_GoBack"/>
      <w:bookmarkEnd w:id="0"/>
    </w:p>
    <w:sectPr w:rsidR="00CE39A9" w:rsidRPr="00C36AB3" w:rsidSect="002F26C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7E20" w14:textId="77777777" w:rsidR="000F6140" w:rsidRDefault="000F6140" w:rsidP="002F26C2">
      <w:pPr>
        <w:spacing w:line="240" w:lineRule="auto"/>
      </w:pPr>
      <w:r>
        <w:separator/>
      </w:r>
    </w:p>
  </w:endnote>
  <w:endnote w:type="continuationSeparator" w:id="0">
    <w:p w14:paraId="021D0FE8" w14:textId="77777777" w:rsidR="000F6140" w:rsidRDefault="000F6140" w:rsidP="002F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098A" w14:textId="1388A832" w:rsidR="002F26C2" w:rsidRPr="003700B9" w:rsidRDefault="00684251" w:rsidP="00684251">
    <w:pPr>
      <w:pStyle w:val="Footer"/>
      <w:jc w:val="right"/>
      <w:rPr>
        <w:sz w:val="22"/>
      </w:rPr>
    </w:pPr>
    <w:r w:rsidRPr="003700B9">
      <w:rPr>
        <w:sz w:val="22"/>
      </w:rPr>
      <w:t xml:space="preserve">Designing a Stakeholder Engagement Plan </w:t>
    </w:r>
    <w:r w:rsidRPr="003700B9">
      <w:rPr>
        <w:sz w:val="22"/>
      </w:rPr>
      <w:tab/>
    </w:r>
    <w:r w:rsidRPr="003700B9">
      <w:rPr>
        <w:sz w:val="22"/>
      </w:rPr>
      <w:tab/>
    </w:r>
    <w:sdt>
      <w:sdtPr>
        <w:rPr>
          <w:sz w:val="22"/>
        </w:rPr>
        <w:id w:val="-931426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00B9">
          <w:rPr>
            <w:sz w:val="22"/>
          </w:rPr>
          <w:fldChar w:fldCharType="begin"/>
        </w:r>
        <w:r w:rsidRPr="003700B9">
          <w:rPr>
            <w:sz w:val="22"/>
          </w:rPr>
          <w:instrText xml:space="preserve"> PAGE   \* MERGEFORMAT </w:instrText>
        </w:r>
        <w:r w:rsidRPr="003700B9">
          <w:rPr>
            <w:sz w:val="22"/>
          </w:rPr>
          <w:fldChar w:fldCharType="separate"/>
        </w:r>
        <w:r w:rsidRPr="003700B9">
          <w:rPr>
            <w:noProof/>
            <w:sz w:val="22"/>
          </w:rPr>
          <w:t>2</w:t>
        </w:r>
        <w:r w:rsidRPr="003700B9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F1C6" w14:textId="77777777" w:rsidR="000F6140" w:rsidRDefault="000F6140" w:rsidP="002F26C2">
      <w:pPr>
        <w:spacing w:line="240" w:lineRule="auto"/>
      </w:pPr>
      <w:r>
        <w:separator/>
      </w:r>
    </w:p>
  </w:footnote>
  <w:footnote w:type="continuationSeparator" w:id="0">
    <w:p w14:paraId="6AEA350A" w14:textId="77777777" w:rsidR="000F6140" w:rsidRDefault="000F6140" w:rsidP="002F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E134" w14:textId="33A56EF3" w:rsidR="002F26C2" w:rsidRDefault="002F26C2">
    <w:pPr>
      <w:pStyle w:val="Header"/>
    </w:pPr>
    <w:r w:rsidRPr="009D3239">
      <w:rPr>
        <w:noProof/>
      </w:rPr>
      <w:drawing>
        <wp:anchor distT="0" distB="0" distL="114300" distR="114300" simplePos="0" relativeHeight="251659264" behindDoc="0" locked="0" layoutInCell="1" allowOverlap="1" wp14:anchorId="6C9E24AF" wp14:editId="03C8ACCD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6035040" cy="960120"/>
          <wp:effectExtent l="0" t="0" r="3810" b="0"/>
          <wp:wrapNone/>
          <wp:docPr id="1" name="Picture 1" descr="C:\Users\michaell\AppData\Local\Microsoft\Windows\Temporary Internet Files\Content.Outlook\14B5V45N\DFID-UKAid Landesa 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l\AppData\Local\Microsoft\Windows\Temporary Internet Files\Content.Outlook\14B5V45N\DFID-UKAid Landesa r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063"/>
    <w:multiLevelType w:val="hybridMultilevel"/>
    <w:tmpl w:val="EE26E2AE"/>
    <w:lvl w:ilvl="0" w:tplc="C1BE2418">
      <w:start w:val="1"/>
      <w:numFmt w:val="decimal"/>
      <w:lvlText w:val="%1."/>
      <w:lvlJc w:val="left"/>
      <w:pPr>
        <w:ind w:left="418" w:hanging="41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2"/>
    <w:rsid w:val="00042953"/>
    <w:rsid w:val="000A7B7F"/>
    <w:rsid w:val="000F6140"/>
    <w:rsid w:val="00216664"/>
    <w:rsid w:val="002E2BC1"/>
    <w:rsid w:val="002F26C2"/>
    <w:rsid w:val="003700B9"/>
    <w:rsid w:val="003B5703"/>
    <w:rsid w:val="003B7BEF"/>
    <w:rsid w:val="005C7887"/>
    <w:rsid w:val="00625B64"/>
    <w:rsid w:val="00684251"/>
    <w:rsid w:val="006D23FE"/>
    <w:rsid w:val="00776530"/>
    <w:rsid w:val="00970F01"/>
    <w:rsid w:val="00987A4A"/>
    <w:rsid w:val="00A16783"/>
    <w:rsid w:val="00AC0A4E"/>
    <w:rsid w:val="00B77403"/>
    <w:rsid w:val="00C36AB3"/>
    <w:rsid w:val="00CE39A9"/>
    <w:rsid w:val="00DB0442"/>
    <w:rsid w:val="00E73B2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E74F"/>
  <w15:chartTrackingRefBased/>
  <w15:docId w15:val="{24A9D5E8-03C0-4166-9D55-7B64605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6C2"/>
    <w:pPr>
      <w:spacing w:after="0" w:line="30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aliases w:val="Task"/>
    <w:basedOn w:val="Normal"/>
    <w:next w:val="Normal"/>
    <w:link w:val="Heading2Char"/>
    <w:uiPriority w:val="9"/>
    <w:unhideWhenUsed/>
    <w:qFormat/>
    <w:rsid w:val="006D2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tep"/>
    <w:basedOn w:val="Normal"/>
    <w:next w:val="Normal"/>
    <w:link w:val="Heading3Char"/>
    <w:uiPriority w:val="9"/>
    <w:unhideWhenUsed/>
    <w:qFormat/>
    <w:rsid w:val="006D23FE"/>
    <w:pPr>
      <w:keepNext/>
      <w:keepLines/>
      <w:spacing w:before="200"/>
      <w:outlineLvl w:val="2"/>
    </w:pPr>
    <w:rPr>
      <w:rFonts w:eastAsiaTheme="majorEastAsia"/>
      <w:color w:val="000000" w:themeColor="text1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23FE"/>
    <w:pPr>
      <w:outlineLvl w:val="3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-ExecSummary"/>
    <w:basedOn w:val="Normal"/>
    <w:link w:val="ListParagraphChar"/>
    <w:uiPriority w:val="34"/>
    <w:qFormat/>
    <w:rsid w:val="002F26C2"/>
    <w:pPr>
      <w:ind w:left="720"/>
      <w:contextualSpacing/>
    </w:pPr>
  </w:style>
  <w:style w:type="character" w:customStyle="1" w:styleId="ListParagraphChar">
    <w:name w:val="List Paragraph Char"/>
    <w:aliases w:val="Table/Figure Heading Char,List Paragraph-ExecSummary Char"/>
    <w:basedOn w:val="DefaultParagraphFont"/>
    <w:link w:val="ListParagraph"/>
    <w:uiPriority w:val="34"/>
    <w:rsid w:val="002F26C2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F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6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C2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6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C2"/>
    <w:rPr>
      <w:rFonts w:ascii="Arial" w:eastAsiaTheme="minorEastAsia" w:hAnsi="Arial" w:cs="Arial"/>
      <w:sz w:val="24"/>
      <w:szCs w:val="24"/>
    </w:rPr>
  </w:style>
  <w:style w:type="character" w:customStyle="1" w:styleId="Heading2Char">
    <w:name w:val="Heading 2 Char"/>
    <w:aliases w:val="Task Char"/>
    <w:basedOn w:val="DefaultParagraphFont"/>
    <w:link w:val="Heading2"/>
    <w:uiPriority w:val="9"/>
    <w:rsid w:val="006D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Step Char"/>
    <w:basedOn w:val="DefaultParagraphFont"/>
    <w:link w:val="Heading3"/>
    <w:uiPriority w:val="9"/>
    <w:rsid w:val="006D23FE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D23FE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3FE"/>
    <w:rPr>
      <w:color w:val="0563C1" w:themeColor="hyperlink"/>
      <w:u w:val="single"/>
    </w:rPr>
  </w:style>
  <w:style w:type="paragraph" w:customStyle="1" w:styleId="Default">
    <w:name w:val="Default"/>
    <w:rsid w:val="006D2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6D23F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3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D23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23FE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uiPriority w:val="22"/>
    <w:qFormat/>
    <w:rsid w:val="006D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3</cp:revision>
  <dcterms:created xsi:type="dcterms:W3CDTF">2018-06-06T20:07:00Z</dcterms:created>
  <dcterms:modified xsi:type="dcterms:W3CDTF">2018-06-06T20:12:00Z</dcterms:modified>
</cp:coreProperties>
</file>